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auto" w:fill="FFFFFF"/>
        <w:spacing w:beforeAutospacing="0" w:afterAutospacing="0"/>
        <w:jc w:val="center"/>
        <w:rPr>
          <w:rStyle w:val="4"/>
          <w:rFonts w:ascii="宋体" w:cs="宋体"/>
          <w:color w:val="222222"/>
          <w:sz w:val="44"/>
          <w:szCs w:val="44"/>
          <w:shd w:val="clear" w:color="auto" w:fill="FFFFFF"/>
        </w:rPr>
      </w:pPr>
      <w:r>
        <w:rPr>
          <w:rStyle w:val="4"/>
          <w:rFonts w:hint="eastAsia" w:ascii="宋体" w:hAnsi="宋体" w:cs="宋体"/>
          <w:color w:val="222222"/>
          <w:sz w:val="44"/>
          <w:szCs w:val="44"/>
          <w:shd w:val="clear" w:color="auto" w:fill="FFFFFF"/>
        </w:rPr>
        <w:t>拍卖公告</w:t>
      </w:r>
    </w:p>
    <w:p>
      <w:pPr>
        <w:pStyle w:val="2"/>
        <w:widowControl/>
        <w:shd w:val="clear" w:color="auto" w:fill="FFFFFF"/>
        <w:spacing w:beforeAutospacing="0" w:afterAutospacing="0"/>
        <w:rPr>
          <w:rStyle w:val="4"/>
          <w:rFonts w:ascii="宋体" w:cs="宋体"/>
          <w:color w:val="222222"/>
          <w:sz w:val="21"/>
          <w:szCs w:val="21"/>
          <w:shd w:val="clear" w:color="auto" w:fill="FFFFFF"/>
        </w:rPr>
      </w:pPr>
    </w:p>
    <w:p>
      <w:pPr>
        <w:pStyle w:val="2"/>
        <w:widowControl/>
        <w:shd w:val="clear" w:color="auto" w:fill="FFFFFF"/>
        <w:spacing w:beforeAutospacing="0" w:afterAutospacing="0"/>
        <w:rPr>
          <w:rFonts w:ascii="宋体" w:cs="宋体"/>
          <w:color w:val="222222"/>
          <w:sz w:val="21"/>
          <w:szCs w:val="21"/>
          <w:shd w:val="clear" w:color="auto" w:fill="FFFFFF"/>
        </w:rPr>
      </w:pPr>
      <w:r>
        <w:rPr>
          <w:rStyle w:val="4"/>
          <w:rFonts w:hint="eastAsia" w:ascii="宋体" w:hAnsi="宋体" w:cs="宋体"/>
          <w:color w:val="222222"/>
          <w:sz w:val="21"/>
          <w:szCs w:val="21"/>
          <w:shd w:val="clear" w:color="auto" w:fill="FFFFFF"/>
        </w:rPr>
        <w:t>一、租赁标的基本情况</w:t>
      </w:r>
      <w:r>
        <w:rPr>
          <w:rFonts w:hint="eastAsia" w:ascii="宋体" w:hAnsi="宋体" w:cs="宋体"/>
          <w:color w:val="222222"/>
          <w:sz w:val="21"/>
          <w:szCs w:val="21"/>
          <w:shd w:val="clear" w:color="auto" w:fill="FFFFFF"/>
        </w:rPr>
        <w:t>：</w:t>
      </w:r>
    </w:p>
    <w:tbl>
      <w:tblPr>
        <w:tblStyle w:val="6"/>
        <w:tblW w:w="9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5"/>
        <w:gridCol w:w="1420"/>
        <w:gridCol w:w="1420"/>
        <w:gridCol w:w="1420"/>
        <w:gridCol w:w="1420"/>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trPr>
        <w:tc>
          <w:tcPr>
            <w:tcW w:w="2095" w:type="dxa"/>
            <w:vMerge w:val="restart"/>
            <w:vAlign w:val="top"/>
          </w:tcPr>
          <w:p>
            <w:pPr>
              <w:pStyle w:val="2"/>
              <w:keepNext w:val="0"/>
              <w:keepLines w:val="0"/>
              <w:pageBreakBefore w:val="0"/>
              <w:widowControl/>
              <w:kinsoku/>
              <w:wordWrap/>
              <w:overflowPunct/>
              <w:topLinePunct w:val="0"/>
              <w:autoSpaceDE/>
              <w:autoSpaceDN/>
              <w:bidi w:val="0"/>
              <w:adjustRightInd/>
              <w:snapToGrid w:val="0"/>
              <w:spacing w:beforeAutospacing="0" w:afterAutospacing="0" w:line="240" w:lineRule="auto"/>
              <w:jc w:val="center"/>
              <w:textAlignment w:val="auto"/>
              <w:outlineLvl w:val="9"/>
              <w:rPr>
                <w:rFonts w:hint="eastAsia" w:ascii="宋体" w:cs="宋体"/>
                <w:color w:val="222222"/>
                <w:sz w:val="21"/>
                <w:szCs w:val="21"/>
              </w:rPr>
            </w:pPr>
          </w:p>
          <w:p>
            <w:pPr>
              <w:pStyle w:val="2"/>
              <w:keepNext w:val="0"/>
              <w:keepLines w:val="0"/>
              <w:pageBreakBefore w:val="0"/>
              <w:widowControl/>
              <w:kinsoku/>
              <w:wordWrap/>
              <w:overflowPunct/>
              <w:topLinePunct w:val="0"/>
              <w:autoSpaceDE/>
              <w:autoSpaceDN/>
              <w:bidi w:val="0"/>
              <w:adjustRightInd/>
              <w:snapToGrid w:val="0"/>
              <w:spacing w:beforeAutospacing="0" w:afterAutospacing="0" w:line="240" w:lineRule="auto"/>
              <w:jc w:val="center"/>
              <w:textAlignment w:val="auto"/>
              <w:outlineLvl w:val="9"/>
            </w:pPr>
            <w:r>
              <w:rPr>
                <w:rFonts w:hint="eastAsia" w:ascii="宋体" w:cs="宋体"/>
                <w:color w:val="222222"/>
                <w:sz w:val="21"/>
                <w:szCs w:val="21"/>
              </w:rPr>
              <w:t>标的基本情况</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eastAsia="zh-CN"/>
              </w:rPr>
            </w:pPr>
            <w:r>
              <w:rPr>
                <w:rFonts w:hint="eastAsia" w:ascii="宋体" w:cs="宋体"/>
                <w:color w:val="222222"/>
                <w:sz w:val="21"/>
                <w:szCs w:val="21"/>
                <w:vertAlign w:val="baseline"/>
              </w:rPr>
              <w:t>标的</w:t>
            </w:r>
            <w:r>
              <w:rPr>
                <w:rFonts w:hint="eastAsia" w:ascii="宋体" w:cs="宋体"/>
                <w:color w:val="222222"/>
                <w:sz w:val="21"/>
                <w:szCs w:val="21"/>
                <w:vertAlign w:val="baseline"/>
                <w:lang w:val="en-US" w:eastAsia="zh-CN"/>
              </w:rPr>
              <w:t>1</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标的</w:t>
            </w:r>
            <w:r>
              <w:rPr>
                <w:rFonts w:hint="eastAsia" w:ascii="宋体" w:cs="宋体"/>
                <w:color w:val="222222"/>
                <w:sz w:val="21"/>
                <w:szCs w:val="21"/>
                <w:vertAlign w:val="baseline"/>
                <w:lang w:val="en-US" w:eastAsia="zh-CN"/>
              </w:rPr>
              <w:t>2</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标的</w:t>
            </w:r>
            <w:r>
              <w:rPr>
                <w:rFonts w:hint="eastAsia" w:ascii="宋体" w:cs="宋体"/>
                <w:color w:val="222222"/>
                <w:sz w:val="21"/>
                <w:szCs w:val="21"/>
                <w:vertAlign w:val="baseline"/>
                <w:lang w:val="en-US" w:eastAsia="zh-CN"/>
              </w:rPr>
              <w:t>3</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标的</w:t>
            </w:r>
            <w:r>
              <w:rPr>
                <w:rFonts w:hint="eastAsia" w:ascii="宋体" w:cs="宋体"/>
                <w:color w:val="222222"/>
                <w:sz w:val="21"/>
                <w:szCs w:val="21"/>
                <w:vertAlign w:val="baseline"/>
                <w:lang w:val="en-US" w:eastAsia="zh-CN"/>
              </w:rPr>
              <w:t>4</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标的</w:t>
            </w:r>
            <w:r>
              <w:rPr>
                <w:rFonts w:hint="eastAsia" w:ascii="宋体" w:cs="宋体"/>
                <w:color w:val="222222"/>
                <w:sz w:val="21"/>
                <w:szCs w:val="21"/>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32" w:hRule="atLeast"/>
        </w:trPr>
        <w:tc>
          <w:tcPr>
            <w:tcW w:w="2095" w:type="dxa"/>
            <w:vMerge w:val="continue"/>
            <w:vAlign w:val="top"/>
          </w:tcPr>
          <w:p>
            <w:pPr>
              <w:pStyle w:val="2"/>
              <w:widowControl/>
              <w:spacing w:beforeAutospacing="0" w:afterAutospacing="0"/>
              <w:jc w:val="center"/>
            </w:pP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西埔镇中兴街康福巷1005-3号东山盐务局旧办公楼第③店面（面积：21.27㎡）三年期租赁权</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西埔镇泽园路343-3号东山盐务局新办公楼第③间店面（面积：35.72㎡）三年期租赁权</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西埔镇泽园路343-4号东山盐务局新办公楼第④间店面（面积：35.72㎡）三年期租赁权</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西埔镇泽路343-5/343-6号东山盐务局新办公楼第⑤⑥间店面（面积：71.44㎡）三年期租赁权</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西埔镇泽园路343-7/343-8号东山盐务局新办公楼第⑦⑧间店面（面积：71.44㎡）三年期租赁权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产权状况</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实物状况</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eastAsia="zh-CN"/>
              </w:rPr>
            </w:pPr>
            <w:r>
              <w:rPr>
                <w:rFonts w:hint="eastAsia" w:ascii="宋体" w:cs="宋体"/>
                <w:color w:val="222222"/>
                <w:sz w:val="21"/>
                <w:szCs w:val="21"/>
                <w:vertAlign w:val="baseline"/>
                <w:lang w:val="en-US" w:eastAsia="zh-CN"/>
              </w:rPr>
              <w:t>空置</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val="en-US" w:eastAsia="zh-CN"/>
              </w:rPr>
              <w:t>在租</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val="en-US" w:eastAsia="zh-CN"/>
              </w:rPr>
              <w:t>在租</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val="en-US" w:eastAsia="zh-CN"/>
              </w:rPr>
              <w:t>空置</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val="en-US" w:eastAsia="zh-CN"/>
              </w:rPr>
            </w:pPr>
            <w:r>
              <w:rPr>
                <w:rFonts w:hint="eastAsia" w:ascii="宋体" w:cs="宋体"/>
                <w:color w:val="222222"/>
                <w:sz w:val="21"/>
                <w:szCs w:val="21"/>
                <w:vertAlign w:val="baseline"/>
                <w:lang w:val="en-US" w:eastAsia="zh-CN"/>
              </w:rPr>
              <w:t>在租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资产明细清单</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eastAsia="zh-CN"/>
              </w:rPr>
            </w:pPr>
            <w:r>
              <w:rPr>
                <w:rFonts w:hint="eastAsia" w:ascii="宋体" w:cs="宋体"/>
                <w:color w:val="222222"/>
                <w:sz w:val="21"/>
                <w:szCs w:val="21"/>
                <w:vertAlign w:val="baseline"/>
                <w:lang w:eastAsia="zh-CN"/>
              </w:rPr>
              <w:t>无</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无</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无</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无</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租赁物瑕疵</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仿宋_GB2312" w:hAnsi="新宋体"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租赁用途</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租赁用途为商业经营，</w:t>
            </w:r>
            <w:r>
              <w:rPr>
                <w:rFonts w:hint="eastAsia" w:ascii="宋体" w:cs="宋体"/>
                <w:color w:val="222222"/>
                <w:sz w:val="21"/>
                <w:szCs w:val="21"/>
                <w:vertAlign w:val="baseline"/>
                <w:lang w:eastAsia="zh-CN"/>
              </w:rPr>
              <w:t>承租人</w:t>
            </w:r>
            <w:r>
              <w:rPr>
                <w:rFonts w:hint="eastAsia" w:ascii="宋体" w:cs="宋体"/>
                <w:color w:val="222222"/>
                <w:sz w:val="21"/>
                <w:szCs w:val="21"/>
                <w:vertAlign w:val="baseline"/>
              </w:rPr>
              <w:t>使用房屋应遵守国家法律、法规，不得从事违法、犯罪行为</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租赁用途为商业经营，</w:t>
            </w:r>
            <w:r>
              <w:rPr>
                <w:rFonts w:hint="eastAsia" w:ascii="宋体" w:cs="宋体"/>
                <w:color w:val="222222"/>
                <w:sz w:val="21"/>
                <w:szCs w:val="21"/>
                <w:vertAlign w:val="baseline"/>
                <w:lang w:eastAsia="zh-CN"/>
              </w:rPr>
              <w:t>承租人</w:t>
            </w:r>
            <w:r>
              <w:rPr>
                <w:rFonts w:hint="eastAsia" w:ascii="宋体" w:cs="宋体"/>
                <w:color w:val="222222"/>
                <w:sz w:val="21"/>
                <w:szCs w:val="21"/>
                <w:vertAlign w:val="baseline"/>
              </w:rPr>
              <w:t>使用房屋应遵守国家法律、法规，不得从事违法、犯罪行为</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租赁用途为商业经营，</w:t>
            </w:r>
            <w:r>
              <w:rPr>
                <w:rFonts w:hint="eastAsia" w:ascii="宋体" w:cs="宋体"/>
                <w:color w:val="222222"/>
                <w:sz w:val="21"/>
                <w:szCs w:val="21"/>
                <w:vertAlign w:val="baseline"/>
                <w:lang w:eastAsia="zh-CN"/>
              </w:rPr>
              <w:t>承租人</w:t>
            </w:r>
            <w:r>
              <w:rPr>
                <w:rFonts w:hint="eastAsia" w:ascii="宋体" w:cs="宋体"/>
                <w:color w:val="222222"/>
                <w:sz w:val="21"/>
                <w:szCs w:val="21"/>
                <w:vertAlign w:val="baseline"/>
              </w:rPr>
              <w:t>使用房屋应遵守国家法律、法规，不得从事违法、犯罪行为</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租赁用途为商业经营，</w:t>
            </w:r>
            <w:r>
              <w:rPr>
                <w:rFonts w:hint="eastAsia" w:ascii="宋体" w:cs="宋体"/>
                <w:color w:val="222222"/>
                <w:sz w:val="21"/>
                <w:szCs w:val="21"/>
                <w:vertAlign w:val="baseline"/>
                <w:lang w:eastAsia="zh-CN"/>
              </w:rPr>
              <w:t>承租人</w:t>
            </w:r>
            <w:r>
              <w:rPr>
                <w:rFonts w:hint="eastAsia" w:ascii="宋体" w:cs="宋体"/>
                <w:color w:val="222222"/>
                <w:sz w:val="21"/>
                <w:szCs w:val="21"/>
                <w:vertAlign w:val="baseline"/>
              </w:rPr>
              <w:t>使用房屋应遵守国家法律、法规，不得从事违法、犯罪行为</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租赁用途为商业经营，</w:t>
            </w:r>
            <w:r>
              <w:rPr>
                <w:rFonts w:hint="eastAsia" w:ascii="宋体" w:cs="宋体"/>
                <w:color w:val="222222"/>
                <w:sz w:val="21"/>
                <w:szCs w:val="21"/>
                <w:vertAlign w:val="baseline"/>
                <w:lang w:eastAsia="zh-CN"/>
              </w:rPr>
              <w:t>承租人</w:t>
            </w:r>
            <w:r>
              <w:rPr>
                <w:rFonts w:hint="eastAsia" w:ascii="宋体" w:cs="宋体"/>
                <w:color w:val="222222"/>
                <w:sz w:val="21"/>
                <w:szCs w:val="21"/>
                <w:vertAlign w:val="baseline"/>
              </w:rPr>
              <w:t>使用房屋应遵守国家法律、法规，不得从事违法、犯罪行为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租赁期限</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三年（自租赁标的交付之日起算）</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三年（自租赁标的交付之日起算）</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三年（自租赁标的交付之日起算）</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三年（自租赁标的交付之日起算）</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三年（自租赁标的交付之日起算）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lang w:eastAsia="zh-CN"/>
              </w:rPr>
              <w:t>免租装修期</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租金收缴方式</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租金一年一交，第一年租金即在租赁合同生签订之日一次性缴清，第二、第三年在上一年租赁期满前十日内缴清</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租金一年一交，第一年租金即在租赁合同生签订之日一次性缴清，第二、第三年在上一年租赁期满前十日内缴清</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租金一年一交，第一年租金即在租赁合同生签订之日一次性缴清，第二、第三年在上一年租赁期满前十日内缴清</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租金一年一交，第一年租金即在租赁合同生签订之日一次性缴清，第二、第三年在上一年租赁期满前十日内缴清</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租金一年一交，第一年租金即在租赁合同生签订之日一次性缴清，第二、第三年在上一年租赁期满前十日内缴清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租赁底价及递增率</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26800元/年每年递增5％，即第二年租金在第一年租金基础上递增5％，第三年租金在第二年租金基础上递增5％</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13720元/年每年递增5％，即第二年租金在第一年租金基础上递增5％，第三年租金在第二年租金基础上递增5％</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15000元/年每年递增5％，即第二年租金在第一年租金基础上递增5％，第三年租金在第二年租金基础上递增5％</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32580元/年每年递增5％，即第二年租金在第一年租金基础上递增5％，第三年租金在第二年租金基础上递增5％</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3</w:t>
            </w:r>
            <w:r>
              <w:rPr>
                <w:rFonts w:hint="eastAsia" w:ascii="宋体" w:cs="宋体"/>
                <w:color w:val="222222"/>
                <w:sz w:val="21"/>
                <w:szCs w:val="21"/>
                <w:vertAlign w:val="baseline"/>
                <w:lang w:val="en-US" w:eastAsia="zh-CN"/>
              </w:rPr>
              <w:t>000</w:t>
            </w:r>
            <w:r>
              <w:rPr>
                <w:rFonts w:hint="eastAsia" w:ascii="宋体" w:cs="宋体"/>
                <w:color w:val="222222"/>
                <w:sz w:val="21"/>
                <w:szCs w:val="21"/>
                <w:vertAlign w:val="baseline"/>
              </w:rPr>
              <w:t>0元/年每年递增5％，即第二年租金在第一年租金基础上递增5％，第三年租金在第二年租金基础上递增5％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履约保证金</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2个月的租金，在签订租赁合同之时缴交</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2个月的租金，在签订租赁合同之时缴交</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2个月的租金，在签订租赁合同之时缴交</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2个月的租金，在签订租赁合同之时缴交</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2个月的租金，在签订租赁合同之时缴交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竞价方式</w:t>
            </w:r>
          </w:p>
        </w:tc>
        <w:tc>
          <w:tcPr>
            <w:tcW w:w="1420" w:type="dxa"/>
          </w:tcPr>
          <w:p>
            <w:pPr>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密封式报价</w:t>
            </w:r>
          </w:p>
        </w:tc>
        <w:tc>
          <w:tcPr>
            <w:tcW w:w="1420" w:type="dxa"/>
          </w:tcPr>
          <w:p>
            <w:pPr>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密封式报价</w:t>
            </w:r>
          </w:p>
        </w:tc>
        <w:tc>
          <w:tcPr>
            <w:tcW w:w="1420" w:type="dxa"/>
          </w:tcPr>
          <w:p>
            <w:pPr>
              <w:widowControl/>
              <w:spacing w:beforeAutospacing="0" w:afterAutospacing="0"/>
              <w:jc w:val="center"/>
              <w:rPr>
                <w:rFonts w:hint="eastAsia" w:ascii="宋体" w:eastAsia="宋体" w:cs="宋体"/>
                <w:color w:val="222222"/>
                <w:sz w:val="21"/>
                <w:szCs w:val="21"/>
                <w:vertAlign w:val="baseline"/>
                <w:lang w:eastAsia="zh-CN"/>
              </w:rPr>
            </w:pPr>
            <w:r>
              <w:rPr>
                <w:rFonts w:hint="eastAsia" w:ascii="宋体" w:cs="宋体"/>
                <w:color w:val="222222"/>
                <w:sz w:val="21"/>
                <w:szCs w:val="21"/>
                <w:vertAlign w:val="baseline"/>
                <w:lang w:eastAsia="zh-CN"/>
              </w:rPr>
              <w:t>密封式报价</w:t>
            </w:r>
          </w:p>
        </w:tc>
        <w:tc>
          <w:tcPr>
            <w:tcW w:w="1420" w:type="dxa"/>
          </w:tcPr>
          <w:p>
            <w:pPr>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密封式报价</w:t>
            </w:r>
          </w:p>
        </w:tc>
        <w:tc>
          <w:tcPr>
            <w:tcW w:w="1420" w:type="dxa"/>
          </w:tcPr>
          <w:p>
            <w:pPr>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lang w:eastAsia="zh-CN"/>
              </w:rPr>
              <w:t>密封式报价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承租方资格</w:t>
            </w:r>
          </w:p>
        </w:tc>
        <w:tc>
          <w:tcPr>
            <w:tcW w:w="1420" w:type="dxa"/>
          </w:tcPr>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1、自然人或企事业单位，无不良信用记录者方可参与竞价；</w:t>
            </w:r>
          </w:p>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2、资信良好，能严格按照租赁合同约定履行的具有独立法人资格且有效续存的境内外法人或分支机构，以及具有完全民事行为能力的自然人。</w:t>
            </w:r>
          </w:p>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3、与福建省漳州盐业有限责任公司曾有租赁关系但有欠租行为的不能参加竞租</w:t>
            </w:r>
          </w:p>
        </w:tc>
        <w:tc>
          <w:tcPr>
            <w:tcW w:w="1420" w:type="dxa"/>
          </w:tcPr>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1、自然人或企事业单位，无不良信用记录者方可参与竞价；</w:t>
            </w:r>
          </w:p>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2、资信良好，能严格按照租赁合同约定履行的具有独立法人资格且有效续存的境内外法人或分支机构，以及具有完全民事行为能力的自然人。</w:t>
            </w:r>
          </w:p>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3、与福建省漳州盐业有限责任公司曾有租赁关系但有欠租行为的不能参加竞租</w:t>
            </w:r>
          </w:p>
        </w:tc>
        <w:tc>
          <w:tcPr>
            <w:tcW w:w="1420" w:type="dxa"/>
          </w:tcPr>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1、自然人或企事业单位，无不良信用记录者方可参与竞价；</w:t>
            </w:r>
          </w:p>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2、资信良好，能严格按照租赁合同约定履行的具有独立法人资格且有效续存的境内外法人或分支机构，以及具有完全民事行为能力的自然人。</w:t>
            </w:r>
          </w:p>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3、与福建省漳州盐业有限责任公司曾有租赁关系但有欠租行为的不能参加竞租</w:t>
            </w:r>
          </w:p>
        </w:tc>
        <w:tc>
          <w:tcPr>
            <w:tcW w:w="1420" w:type="dxa"/>
          </w:tcPr>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1、自然人或企事业单位，无不良信用记录者方可参与竞价；</w:t>
            </w:r>
          </w:p>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2、资信良好，能严格按照租赁合同约定履行的具有独立法人资格且有效续存的境内外法人或分支机构，以及具有完全民事行为能力的自然人。</w:t>
            </w:r>
          </w:p>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3、与福建省漳州盐业有限责任公司曾有租赁关系但有欠租行为的不能参加竞租</w:t>
            </w:r>
          </w:p>
        </w:tc>
        <w:tc>
          <w:tcPr>
            <w:tcW w:w="1420" w:type="dxa"/>
          </w:tcPr>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1、自然人或企事业单位，无不良信用记录者方可参与竞价；</w:t>
            </w:r>
          </w:p>
          <w:p>
            <w:pPr>
              <w:pStyle w:val="2"/>
              <w:widowControl/>
              <w:spacing w:beforeAutospacing="0" w:afterAutospacing="0"/>
              <w:jc w:val="center"/>
              <w:rPr>
                <w:rFonts w:hint="eastAsia" w:ascii="宋体" w:cs="宋体"/>
                <w:color w:val="222222"/>
                <w:sz w:val="21"/>
                <w:szCs w:val="21"/>
                <w:vertAlign w:val="baseline"/>
              </w:rPr>
            </w:pPr>
            <w:r>
              <w:rPr>
                <w:rFonts w:hint="eastAsia" w:ascii="宋体" w:cs="宋体"/>
                <w:color w:val="222222"/>
                <w:sz w:val="21"/>
                <w:szCs w:val="21"/>
                <w:vertAlign w:val="baseline"/>
              </w:rPr>
              <w:t>2、资信良好，能严格按照租赁合同约定履行的具有独立法人资格且有效续存的境内外法人或分支机构，以及具有完全民事行为能力的自然人。</w:t>
            </w:r>
          </w:p>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3、与福建省漳州盐业有限责任公司曾有租赁关系但有欠租行为的不能参加竞租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lang w:val="en-US" w:eastAsia="zh-CN"/>
              </w:rPr>
              <w:t>承租方资格条件</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优先权情况</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原承租户在价格同等条件下享有优先权</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原承租户在价格同等条件下享有优先权</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原承租户在价格同等条件下享有优先权</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原承租户在价格同等条件下享有优先权</w:t>
            </w:r>
          </w:p>
        </w:tc>
        <w:tc>
          <w:tcPr>
            <w:tcW w:w="1420" w:type="dxa"/>
            <w:vAlign w:val="top"/>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原承租户在价格同等条件下享有优先权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rPr>
              <w:t>保证金（万元）</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val="en-US" w:eastAsia="zh-CN"/>
              </w:rPr>
            </w:pPr>
            <w:r>
              <w:rPr>
                <w:rFonts w:hint="eastAsia" w:ascii="宋体" w:cs="宋体"/>
                <w:color w:val="222222"/>
                <w:sz w:val="21"/>
                <w:szCs w:val="21"/>
                <w:vertAlign w:val="baseline"/>
                <w:lang w:val="en-US" w:eastAsia="zh-CN"/>
              </w:rPr>
              <w:t>1</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val="en-US" w:eastAsia="zh-CN"/>
              </w:rPr>
            </w:pPr>
            <w:r>
              <w:rPr>
                <w:rFonts w:hint="eastAsia" w:ascii="宋体" w:cs="宋体"/>
                <w:color w:val="222222"/>
                <w:sz w:val="21"/>
                <w:szCs w:val="21"/>
                <w:vertAlign w:val="baseline"/>
                <w:lang w:val="en-US" w:eastAsia="zh-CN"/>
              </w:rPr>
              <w:t>1</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val="en-US" w:eastAsia="zh-CN"/>
              </w:rPr>
            </w:pPr>
            <w:r>
              <w:rPr>
                <w:rFonts w:hint="eastAsia" w:ascii="宋体" w:cs="宋体"/>
                <w:color w:val="222222"/>
                <w:sz w:val="21"/>
                <w:szCs w:val="21"/>
                <w:vertAlign w:val="baseline"/>
                <w:lang w:val="en-US" w:eastAsia="zh-CN"/>
              </w:rPr>
              <w:t>1</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val="en-US" w:eastAsia="zh-CN"/>
              </w:rPr>
            </w:pPr>
            <w:r>
              <w:rPr>
                <w:rFonts w:hint="eastAsia" w:ascii="宋体" w:cs="宋体"/>
                <w:color w:val="222222"/>
                <w:sz w:val="21"/>
                <w:szCs w:val="21"/>
                <w:vertAlign w:val="baseline"/>
                <w:lang w:val="en-US" w:eastAsia="zh-CN"/>
              </w:rPr>
              <w:t>1</w:t>
            </w:r>
          </w:p>
        </w:tc>
        <w:tc>
          <w:tcPr>
            <w:tcW w:w="1420" w:type="dxa"/>
          </w:tcPr>
          <w:p>
            <w:pPr>
              <w:pStyle w:val="2"/>
              <w:widowControl/>
              <w:spacing w:beforeAutospacing="0" w:afterAutospacing="0"/>
              <w:jc w:val="center"/>
              <w:rPr>
                <w:rFonts w:hint="eastAsia" w:ascii="宋体" w:eastAsia="宋体" w:cs="宋体"/>
                <w:color w:val="222222"/>
                <w:sz w:val="21"/>
                <w:szCs w:val="21"/>
                <w:vertAlign w:val="baseline"/>
                <w:lang w:val="en-US" w:eastAsia="zh-CN"/>
              </w:rPr>
            </w:pPr>
            <w:r>
              <w:rPr>
                <w:rFonts w:hint="eastAsia" w:ascii="宋体" w:cs="宋体"/>
                <w:color w:val="222222"/>
                <w:sz w:val="21"/>
                <w:szCs w:val="21"/>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trPr>
        <w:tc>
          <w:tcPr>
            <w:tcW w:w="2095" w:type="dxa"/>
            <w:vAlign w:val="top"/>
          </w:tcPr>
          <w:p>
            <w:pPr>
              <w:pStyle w:val="2"/>
              <w:widowControl/>
              <w:spacing w:beforeAutospacing="0" w:afterAutospacing="0"/>
              <w:jc w:val="center"/>
            </w:pPr>
            <w:r>
              <w:rPr>
                <w:rFonts w:hint="eastAsia" w:ascii="宋体" w:cs="宋体"/>
                <w:color w:val="222222"/>
                <w:sz w:val="21"/>
                <w:szCs w:val="21"/>
                <w:lang w:eastAsia="zh-CN"/>
              </w:rPr>
              <w:t>其他情况说明</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c>
          <w:tcPr>
            <w:tcW w:w="1420" w:type="dxa"/>
          </w:tcPr>
          <w:p>
            <w:pPr>
              <w:pStyle w:val="2"/>
              <w:widowControl/>
              <w:spacing w:beforeAutospacing="0" w:afterAutospacing="0"/>
              <w:jc w:val="center"/>
              <w:rPr>
                <w:rFonts w:ascii="宋体" w:cs="宋体"/>
                <w:color w:val="222222"/>
                <w:sz w:val="21"/>
                <w:szCs w:val="21"/>
                <w:vertAlign w:val="baseline"/>
              </w:rPr>
            </w:pPr>
            <w:r>
              <w:rPr>
                <w:rFonts w:hint="eastAsia" w:ascii="宋体" w:cs="宋体"/>
                <w:color w:val="222222"/>
                <w:sz w:val="21"/>
                <w:szCs w:val="21"/>
                <w:vertAlign w:val="baseline"/>
              </w:rPr>
              <w:t>/</w:t>
            </w:r>
          </w:p>
        </w:tc>
      </w:tr>
    </w:tbl>
    <w:p>
      <w:pPr>
        <w:pStyle w:val="2"/>
        <w:widowControl/>
        <w:shd w:val="clear" w:color="auto" w:fill="FFFFFF"/>
        <w:spacing w:beforeAutospacing="0" w:afterAutospacing="0"/>
        <w:rPr>
          <w:rFonts w:ascii="宋体" w:cs="宋体"/>
          <w:color w:val="222222"/>
          <w:sz w:val="21"/>
          <w:szCs w:val="21"/>
        </w:rPr>
      </w:pPr>
    </w:p>
    <w:p>
      <w:pPr>
        <w:pStyle w:val="2"/>
        <w:widowControl/>
        <w:shd w:val="clear" w:color="auto" w:fill="FFFFFF"/>
        <w:spacing w:beforeAutospacing="0" w:afterAutospacing="0"/>
        <w:rPr>
          <w:rFonts w:ascii="宋体" w:cs="宋体"/>
          <w:color w:val="222222"/>
          <w:sz w:val="21"/>
          <w:szCs w:val="21"/>
        </w:rPr>
      </w:pPr>
      <w:r>
        <w:rPr>
          <w:rFonts w:hint="eastAsia" w:ascii="宋体" w:cs="宋体"/>
          <w:color w:val="222222"/>
          <w:sz w:val="21"/>
          <w:szCs w:val="21"/>
        </w:rPr>
        <w:t>二、</w:t>
      </w:r>
      <w:r>
        <w:rPr>
          <w:rStyle w:val="4"/>
          <w:rFonts w:hint="eastAsia" w:ascii="宋体" w:hAnsi="宋体" w:cs="宋体"/>
          <w:color w:val="222222"/>
          <w:sz w:val="21"/>
          <w:szCs w:val="21"/>
          <w:shd w:val="clear" w:color="auto" w:fill="FFFFFF"/>
        </w:rPr>
        <w:t>承租方须接受的承租条件：</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1、租赁标的以现状出租，竞租者自行查勘现场，并自行承担查勘过程的一切费用，全部承担查勘中任何因未全面了解或误解现场实际状况而导致的一切后果。承租方不得转租、转借、调换租赁标的，并严格履行《租赁合同》；若竞价竞得者与我司签订上述合同并缴纳了规定金额的合同保证金后，因其他原因拖延了新承租户的实际入驻时间，那么已签合同的起、止日期可以顺延，具体顺延时间以合同甲方通知为准。</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2、租赁期内，承租方未经出租方同意，不得擅自改变房屋的结构。</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3、租赁期限届满，承租方必须按合同约定如期交还。承租方逾期归还，除承担因此造成的法律、经济责任外，出租方有权强制清场。</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4、承租人对租赁房产的装修须按漳州市有关规范进行，并自行负责办理政府批准的有关手续（包括但不限于房产装修设施的消防手续、验收许可、环保及工商等），装修方案须征得出租方书面同意后方可实施，并且符合消防通道、设施等相应规范；</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5、租赁标的外部、内部楼层（公共部位）广告位归出租方所有，承租人若需使用，须经出租方书面同意后有偿使用，方可用以设置与其经营相关的企业广告；</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6、承租人应严格遵守《租赁合同》的各项规定，按时足额缴纳租金；并自行缴纳水、电等各项费用，自行承担拖欠费用造成的一切后果，与出租方无关。</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7、竞价竞得者须自行办理与自身经营相关的审批手续，我司仅提供自身已有的书面材料。</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8、承租方若为企业法人单位（国有企业除外），必须由企业及企业法定代表人个人共同作为租赁合同的承租方，签订租赁合同，共同承担并履行合同全部义务。</w:t>
      </w:r>
    </w:p>
    <w:p>
      <w:pPr>
        <w:pStyle w:val="2"/>
        <w:widowControl/>
        <w:shd w:val="clear" w:color="auto" w:fill="FFFFFF"/>
        <w:spacing w:beforeAutospacing="0" w:afterAutospacing="0"/>
        <w:rPr>
          <w:rStyle w:val="4"/>
          <w:rFonts w:hint="eastAsia" w:ascii="宋体" w:hAnsi="宋体" w:cs="宋体"/>
          <w:b w:val="0"/>
          <w:bCs/>
          <w:color w:val="222222"/>
          <w:sz w:val="21"/>
          <w:szCs w:val="21"/>
          <w:shd w:val="clear" w:color="auto" w:fill="FFFFFF"/>
        </w:rPr>
      </w:pPr>
      <w:r>
        <w:rPr>
          <w:rStyle w:val="4"/>
          <w:rFonts w:hint="eastAsia" w:ascii="宋体" w:hAnsi="宋体" w:cs="宋体"/>
          <w:b w:val="0"/>
          <w:bCs/>
          <w:color w:val="222222"/>
          <w:sz w:val="21"/>
          <w:szCs w:val="21"/>
          <w:shd w:val="clear" w:color="auto" w:fill="FFFFFF"/>
        </w:rPr>
        <w:t>9、其他必须接受的条件详见《租赁合同》；产权所有人拥有最终解释权。若遇政府决定征收房屋或其他法定不可抗力因素导致合同意外终止，双方互不承担责任，租金按实结算，多还少补。承租户必须在公告发布之日起七日内无条件搬离，否则没收合同保证金，并赔偿损失。</w:t>
      </w:r>
    </w:p>
    <w:p>
      <w:pPr>
        <w:pStyle w:val="2"/>
        <w:widowControl/>
        <w:shd w:val="clear" w:color="auto" w:fill="FFFFFF"/>
        <w:spacing w:beforeAutospacing="0" w:afterAutospacing="0"/>
        <w:rPr>
          <w:rStyle w:val="4"/>
          <w:rFonts w:ascii="宋体" w:cs="宋体"/>
          <w:color w:val="222222"/>
          <w:sz w:val="21"/>
          <w:szCs w:val="21"/>
          <w:shd w:val="clear" w:color="auto" w:fill="FFFFFF"/>
        </w:rPr>
      </w:pPr>
      <w:r>
        <w:rPr>
          <w:rStyle w:val="4"/>
          <w:rFonts w:hint="eastAsia" w:ascii="宋体" w:hAnsi="宋体" w:cs="宋体"/>
          <w:color w:val="222222"/>
          <w:sz w:val="21"/>
          <w:szCs w:val="21"/>
          <w:shd w:val="clear" w:color="auto" w:fill="FFFFFF"/>
        </w:rPr>
        <w:t>三、公告期限及报名手续：</w:t>
      </w:r>
    </w:p>
    <w:p>
      <w:pPr>
        <w:pStyle w:val="2"/>
        <w:widowControl/>
        <w:shd w:val="clear" w:color="auto" w:fill="FFFFFF"/>
        <w:spacing w:beforeAutospacing="0" w:afterAutospacing="0"/>
        <w:ind w:firstLine="420" w:firstLineChars="200"/>
        <w:rPr>
          <w:rFonts w:ascii="宋体" w:cs="宋体"/>
          <w:color w:val="222222"/>
          <w:sz w:val="21"/>
          <w:szCs w:val="21"/>
          <w:shd w:val="clear" w:color="auto" w:fill="FFFFFF"/>
        </w:rPr>
      </w:pPr>
      <w:r>
        <w:rPr>
          <w:rStyle w:val="4"/>
          <w:rFonts w:hint="eastAsia" w:ascii="宋体" w:hAnsi="宋体" w:cs="宋体"/>
          <w:b w:val="0"/>
          <w:bCs/>
          <w:color w:val="222222"/>
          <w:sz w:val="21"/>
          <w:szCs w:val="21"/>
          <w:shd w:val="clear" w:color="auto" w:fill="FFFFFF"/>
        </w:rPr>
        <w:t>公告期限：</w:t>
      </w:r>
      <w:r>
        <w:rPr>
          <w:rFonts w:ascii="宋体" w:hAnsi="宋体" w:cs="宋体"/>
          <w:color w:val="222222"/>
          <w:sz w:val="21"/>
          <w:szCs w:val="21"/>
          <w:shd w:val="clear" w:color="auto" w:fill="FFFFFF"/>
        </w:rPr>
        <w:t>2018</w:t>
      </w:r>
      <w:r>
        <w:rPr>
          <w:rFonts w:hint="eastAsia" w:ascii="宋体" w:hAnsi="宋体" w:cs="宋体"/>
          <w:color w:val="222222"/>
          <w:sz w:val="21"/>
          <w:szCs w:val="21"/>
          <w:shd w:val="clear" w:color="auto" w:fill="FFFFFF"/>
        </w:rPr>
        <w:t>年</w:t>
      </w:r>
      <w:r>
        <w:rPr>
          <w:rFonts w:hint="eastAsia" w:ascii="宋体" w:hAnsi="宋体" w:cs="宋体"/>
          <w:color w:val="222222"/>
          <w:sz w:val="21"/>
          <w:szCs w:val="21"/>
          <w:shd w:val="clear" w:color="auto" w:fill="FFFFFF"/>
          <w:lang w:val="en-US" w:eastAsia="zh-CN"/>
        </w:rPr>
        <w:t>9</w:t>
      </w:r>
      <w:r>
        <w:rPr>
          <w:rFonts w:hint="eastAsia" w:ascii="宋体" w:hAnsi="宋体" w:cs="宋体"/>
          <w:color w:val="222222"/>
          <w:sz w:val="21"/>
          <w:szCs w:val="21"/>
          <w:shd w:val="clear" w:color="auto" w:fill="FFFFFF"/>
        </w:rPr>
        <w:t>月</w:t>
      </w:r>
      <w:r>
        <w:rPr>
          <w:rFonts w:hint="eastAsia" w:ascii="宋体" w:hAnsi="宋体" w:cs="宋体"/>
          <w:color w:val="222222"/>
          <w:sz w:val="21"/>
          <w:szCs w:val="21"/>
          <w:shd w:val="clear" w:color="auto" w:fill="FFFFFF"/>
          <w:lang w:val="en-US" w:eastAsia="zh-CN"/>
        </w:rPr>
        <w:t>6</w:t>
      </w:r>
      <w:r>
        <w:rPr>
          <w:rFonts w:hint="eastAsia" w:ascii="宋体" w:hAnsi="宋体" w:cs="宋体"/>
          <w:color w:val="222222"/>
          <w:sz w:val="21"/>
          <w:szCs w:val="21"/>
          <w:shd w:val="clear" w:color="auto" w:fill="FFFFFF"/>
        </w:rPr>
        <w:t>日</w:t>
      </w:r>
      <w:r>
        <w:rPr>
          <w:rFonts w:ascii="宋体" w:hAnsi="宋体" w:cs="宋体"/>
          <w:color w:val="222222"/>
          <w:sz w:val="21"/>
          <w:szCs w:val="21"/>
          <w:shd w:val="clear" w:color="auto" w:fill="FFFFFF"/>
        </w:rPr>
        <w:t>— 2018</w:t>
      </w:r>
      <w:r>
        <w:rPr>
          <w:rFonts w:hint="eastAsia" w:ascii="宋体" w:hAnsi="宋体" w:cs="宋体"/>
          <w:color w:val="222222"/>
          <w:sz w:val="21"/>
          <w:szCs w:val="21"/>
          <w:shd w:val="clear" w:color="auto" w:fill="FFFFFF"/>
        </w:rPr>
        <w:t>年</w:t>
      </w:r>
      <w:r>
        <w:rPr>
          <w:rFonts w:hint="eastAsia" w:ascii="宋体" w:hAnsi="宋体" w:cs="宋体"/>
          <w:color w:val="222222"/>
          <w:sz w:val="21"/>
          <w:szCs w:val="21"/>
          <w:shd w:val="clear" w:color="auto" w:fill="FFFFFF"/>
          <w:lang w:val="en-US" w:eastAsia="zh-CN"/>
        </w:rPr>
        <w:t>9</w:t>
      </w:r>
      <w:r>
        <w:rPr>
          <w:rFonts w:hint="eastAsia" w:ascii="宋体" w:hAnsi="宋体" w:cs="宋体"/>
          <w:color w:val="222222"/>
          <w:sz w:val="21"/>
          <w:szCs w:val="21"/>
          <w:shd w:val="clear" w:color="auto" w:fill="FFFFFF"/>
        </w:rPr>
        <w:t>月</w:t>
      </w:r>
      <w:r>
        <w:rPr>
          <w:rFonts w:hint="eastAsia" w:ascii="宋体" w:hAnsi="宋体" w:cs="宋体"/>
          <w:color w:val="222222"/>
          <w:sz w:val="21"/>
          <w:szCs w:val="21"/>
          <w:shd w:val="clear" w:color="auto" w:fill="FFFFFF"/>
          <w:lang w:val="en-US" w:eastAsia="zh-CN"/>
        </w:rPr>
        <w:t>27</w:t>
      </w:r>
      <w:r>
        <w:rPr>
          <w:rFonts w:hint="eastAsia" w:ascii="宋体" w:hAnsi="宋体" w:cs="宋体"/>
          <w:color w:val="222222"/>
          <w:sz w:val="21"/>
          <w:szCs w:val="21"/>
          <w:shd w:val="clear" w:color="auto" w:fill="FFFFFF"/>
        </w:rPr>
        <w:t>日。</w:t>
      </w:r>
    </w:p>
    <w:p>
      <w:pPr>
        <w:pStyle w:val="2"/>
        <w:widowControl/>
        <w:shd w:val="clear" w:color="auto" w:fill="FFFFFF"/>
        <w:spacing w:beforeAutospacing="0" w:afterAutospacing="0"/>
        <w:ind w:firstLine="420" w:firstLineChars="200"/>
        <w:rPr>
          <w:rFonts w:ascii="宋体" w:cs="宋体"/>
          <w:color w:val="222222"/>
          <w:sz w:val="21"/>
          <w:szCs w:val="21"/>
          <w:shd w:val="clear" w:color="auto" w:fill="FFFFFF"/>
        </w:rPr>
      </w:pPr>
      <w:r>
        <w:rPr>
          <w:rFonts w:hint="eastAsia" w:ascii="宋体" w:hAnsi="宋体" w:cs="宋体"/>
          <w:color w:val="222222"/>
          <w:sz w:val="21"/>
          <w:szCs w:val="21"/>
          <w:shd w:val="clear" w:color="auto" w:fill="FFFFFF"/>
        </w:rPr>
        <w:t>报名手续：有意竞租者应于即日起至</w:t>
      </w:r>
      <w:r>
        <w:rPr>
          <w:rFonts w:ascii="宋体" w:hAnsi="宋体" w:cs="宋体"/>
          <w:color w:val="222222"/>
          <w:sz w:val="21"/>
          <w:szCs w:val="21"/>
          <w:shd w:val="clear" w:color="auto" w:fill="FFFFFF"/>
        </w:rPr>
        <w:t>2018</w:t>
      </w:r>
      <w:r>
        <w:rPr>
          <w:rFonts w:hint="eastAsia" w:ascii="宋体" w:hAnsi="宋体" w:cs="宋体"/>
          <w:color w:val="222222"/>
          <w:sz w:val="21"/>
          <w:szCs w:val="21"/>
          <w:shd w:val="clear" w:color="auto" w:fill="FFFFFF"/>
        </w:rPr>
        <w:t>年</w:t>
      </w:r>
      <w:r>
        <w:rPr>
          <w:rFonts w:hint="eastAsia" w:ascii="宋体" w:hAnsi="宋体" w:cs="宋体"/>
          <w:color w:val="222222"/>
          <w:sz w:val="21"/>
          <w:szCs w:val="21"/>
          <w:shd w:val="clear" w:color="auto" w:fill="FFFFFF"/>
          <w:lang w:val="en-US" w:eastAsia="zh-CN"/>
        </w:rPr>
        <w:t>9</w:t>
      </w:r>
      <w:r>
        <w:rPr>
          <w:rFonts w:hint="eastAsia" w:ascii="宋体" w:hAnsi="宋体" w:cs="宋体"/>
          <w:color w:val="222222"/>
          <w:sz w:val="21"/>
          <w:szCs w:val="21"/>
          <w:shd w:val="clear" w:color="auto" w:fill="FFFFFF"/>
        </w:rPr>
        <w:t>月</w:t>
      </w:r>
      <w:r>
        <w:rPr>
          <w:rFonts w:hint="eastAsia" w:ascii="宋体" w:hAnsi="宋体" w:cs="宋体"/>
          <w:color w:val="222222"/>
          <w:sz w:val="21"/>
          <w:szCs w:val="21"/>
          <w:shd w:val="clear" w:color="auto" w:fill="FFFFFF"/>
          <w:lang w:val="en-US" w:eastAsia="zh-CN"/>
        </w:rPr>
        <w:t>27</w:t>
      </w:r>
      <w:r>
        <w:rPr>
          <w:rFonts w:hint="eastAsia" w:ascii="宋体" w:hAnsi="宋体" w:cs="宋体"/>
          <w:color w:val="222222"/>
          <w:sz w:val="21"/>
          <w:szCs w:val="21"/>
          <w:shd w:val="clear" w:color="auto" w:fill="FFFFFF"/>
        </w:rPr>
        <w:t>日</w:t>
      </w:r>
      <w:r>
        <w:rPr>
          <w:rFonts w:ascii="宋体" w:hAnsi="宋体" w:cs="宋体"/>
          <w:color w:val="222222"/>
          <w:sz w:val="21"/>
          <w:szCs w:val="21"/>
          <w:shd w:val="clear" w:color="auto" w:fill="FFFFFF"/>
        </w:rPr>
        <w:t>17</w:t>
      </w:r>
      <w:r>
        <w:rPr>
          <w:rFonts w:hint="eastAsia" w:ascii="宋体" w:hAnsi="宋体" w:cs="宋体"/>
          <w:color w:val="222222"/>
          <w:sz w:val="21"/>
          <w:szCs w:val="21"/>
          <w:shd w:val="clear" w:color="auto" w:fill="FFFFFF"/>
        </w:rPr>
        <w:t>时前自行将保证金存入下列账户（以银行到账时间为准），并携带有效证件和存款回执到</w:t>
      </w:r>
      <w:r>
        <w:rPr>
          <w:rFonts w:hint="eastAsia" w:ascii="宋体" w:hAnsi="宋体" w:cs="宋体"/>
          <w:color w:val="222222"/>
          <w:sz w:val="21"/>
          <w:szCs w:val="21"/>
          <w:shd w:val="clear" w:color="auto" w:fill="FFFFFF"/>
          <w:lang w:eastAsia="zh-CN"/>
        </w:rPr>
        <w:t>东山盐务局（郑女士：</w:t>
      </w:r>
      <w:r>
        <w:rPr>
          <w:rFonts w:hint="eastAsia" w:ascii="宋体" w:hAnsi="宋体" w:cs="宋体"/>
          <w:color w:val="222222"/>
          <w:sz w:val="21"/>
          <w:szCs w:val="21"/>
          <w:shd w:val="clear" w:color="auto" w:fill="FFFFFF"/>
          <w:lang w:val="en-US" w:eastAsia="zh-CN"/>
        </w:rPr>
        <w:t>13959600688）</w:t>
      </w:r>
      <w:r>
        <w:rPr>
          <w:rFonts w:hint="eastAsia" w:ascii="宋体" w:hAnsi="宋体" w:cs="宋体"/>
          <w:color w:val="222222"/>
          <w:sz w:val="21"/>
          <w:szCs w:val="21"/>
          <w:shd w:val="clear" w:color="auto" w:fill="FFFFFF"/>
        </w:rPr>
        <w:t>办理竞买登记手续。</w:t>
      </w:r>
    </w:p>
    <w:p>
      <w:pPr>
        <w:pStyle w:val="2"/>
        <w:widowControl/>
        <w:shd w:val="clear" w:color="auto" w:fill="FFFFFF"/>
        <w:spacing w:beforeAutospacing="0" w:afterAutospacing="0"/>
        <w:ind w:firstLine="422" w:firstLineChars="200"/>
        <w:rPr>
          <w:rFonts w:ascii="宋体" w:cs="宋体"/>
          <w:b/>
          <w:bCs/>
          <w:color w:val="222222"/>
          <w:sz w:val="21"/>
          <w:szCs w:val="21"/>
          <w:shd w:val="clear" w:color="auto" w:fill="FFFFFF"/>
        </w:rPr>
      </w:pPr>
      <w:r>
        <w:rPr>
          <w:rFonts w:hint="eastAsia" w:ascii="宋体" w:hAnsi="宋体" w:cs="宋体"/>
          <w:b/>
          <w:bCs/>
          <w:color w:val="222222"/>
          <w:sz w:val="21"/>
          <w:szCs w:val="21"/>
          <w:shd w:val="clear" w:color="auto" w:fill="FFFFFF"/>
        </w:rPr>
        <w:t>户</w:t>
      </w:r>
      <w:r>
        <w:rPr>
          <w:rFonts w:ascii="宋体" w:hAnsi="宋体" w:cs="宋体"/>
          <w:b/>
          <w:bCs/>
          <w:color w:val="222222"/>
          <w:sz w:val="21"/>
          <w:szCs w:val="21"/>
          <w:shd w:val="clear" w:color="auto" w:fill="FFFFFF"/>
        </w:rPr>
        <w:t xml:space="preserve">    </w:t>
      </w:r>
      <w:r>
        <w:rPr>
          <w:rFonts w:hint="eastAsia" w:ascii="宋体" w:hAnsi="宋体" w:cs="宋体"/>
          <w:b/>
          <w:bCs/>
          <w:color w:val="222222"/>
          <w:sz w:val="21"/>
          <w:szCs w:val="21"/>
          <w:shd w:val="clear" w:color="auto" w:fill="FFFFFF"/>
        </w:rPr>
        <w:t>名：福建省贸托拍卖有限公司</w:t>
      </w:r>
      <w:r>
        <w:rPr>
          <w:rFonts w:ascii="宋体" w:hAnsi="宋体" w:cs="宋体"/>
          <w:b/>
          <w:bCs/>
          <w:color w:val="222222"/>
          <w:sz w:val="21"/>
          <w:szCs w:val="21"/>
          <w:shd w:val="clear" w:color="auto" w:fill="FFFFFF"/>
        </w:rPr>
        <w:t xml:space="preserve">  </w:t>
      </w:r>
      <w:r>
        <w:rPr>
          <w:rFonts w:hint="eastAsia" w:ascii="宋体" w:hAnsi="宋体" w:cs="宋体"/>
          <w:b/>
          <w:bCs/>
          <w:color w:val="222222"/>
          <w:sz w:val="21"/>
          <w:szCs w:val="21"/>
          <w:shd w:val="clear" w:color="auto" w:fill="FFFFFF"/>
        </w:rPr>
        <w:t>（注：拍卖保证金）</w:t>
      </w:r>
    </w:p>
    <w:p>
      <w:pPr>
        <w:pStyle w:val="2"/>
        <w:widowControl/>
        <w:shd w:val="clear" w:color="auto" w:fill="FFFFFF"/>
        <w:spacing w:beforeAutospacing="0" w:afterAutospacing="0"/>
        <w:ind w:firstLine="422" w:firstLineChars="200"/>
        <w:rPr>
          <w:rFonts w:ascii="宋体" w:cs="宋体"/>
          <w:b/>
          <w:bCs/>
          <w:color w:val="222222"/>
          <w:sz w:val="21"/>
          <w:szCs w:val="21"/>
          <w:shd w:val="clear" w:color="auto" w:fill="FFFFFF"/>
        </w:rPr>
      </w:pPr>
      <w:r>
        <w:rPr>
          <w:rFonts w:hint="eastAsia" w:ascii="宋体" w:hAnsi="宋体" w:cs="宋体"/>
          <w:b/>
          <w:bCs/>
          <w:color w:val="222222"/>
          <w:sz w:val="21"/>
          <w:szCs w:val="21"/>
          <w:shd w:val="clear" w:color="auto" w:fill="FFFFFF"/>
        </w:rPr>
        <w:t>银行账号：</w:t>
      </w:r>
      <w:r>
        <w:rPr>
          <w:rFonts w:ascii="宋体" w:hAnsi="宋体" w:cs="宋体"/>
          <w:b/>
          <w:bCs/>
          <w:color w:val="222222"/>
          <w:sz w:val="21"/>
          <w:szCs w:val="21"/>
          <w:shd w:val="clear" w:color="auto" w:fill="FFFFFF"/>
        </w:rPr>
        <w:t xml:space="preserve">1402  0237  0960  0006  841   </w:t>
      </w:r>
    </w:p>
    <w:p>
      <w:pPr>
        <w:pStyle w:val="2"/>
        <w:widowControl/>
        <w:shd w:val="clear" w:color="auto" w:fill="FFFFFF"/>
        <w:spacing w:beforeAutospacing="0" w:afterAutospacing="0"/>
        <w:ind w:firstLine="422" w:firstLineChars="200"/>
        <w:rPr>
          <w:rFonts w:ascii="宋体" w:cs="宋体"/>
          <w:b/>
          <w:bCs/>
          <w:color w:val="222222"/>
          <w:sz w:val="21"/>
          <w:szCs w:val="21"/>
          <w:shd w:val="clear" w:color="auto" w:fill="FFFFFF"/>
        </w:rPr>
      </w:pPr>
      <w:r>
        <w:rPr>
          <w:rFonts w:hint="eastAsia" w:ascii="宋体" w:hAnsi="宋体" w:cs="宋体"/>
          <w:b/>
          <w:bCs/>
          <w:color w:val="222222"/>
          <w:sz w:val="21"/>
          <w:szCs w:val="21"/>
          <w:shd w:val="clear" w:color="auto" w:fill="FFFFFF"/>
        </w:rPr>
        <w:t>开</w:t>
      </w:r>
      <w:r>
        <w:rPr>
          <w:rFonts w:ascii="宋体" w:hAnsi="宋体" w:cs="宋体"/>
          <w:b/>
          <w:bCs/>
          <w:color w:val="222222"/>
          <w:sz w:val="21"/>
          <w:szCs w:val="21"/>
          <w:shd w:val="clear" w:color="auto" w:fill="FFFFFF"/>
        </w:rPr>
        <w:t xml:space="preserve"> </w:t>
      </w:r>
      <w:r>
        <w:rPr>
          <w:rFonts w:hint="eastAsia" w:ascii="宋体" w:hAnsi="宋体" w:cs="宋体"/>
          <w:b/>
          <w:bCs/>
          <w:color w:val="222222"/>
          <w:sz w:val="21"/>
          <w:szCs w:val="21"/>
          <w:shd w:val="clear" w:color="auto" w:fill="FFFFFF"/>
        </w:rPr>
        <w:t>户</w:t>
      </w:r>
      <w:r>
        <w:rPr>
          <w:rFonts w:ascii="宋体" w:hAnsi="宋体" w:cs="宋体"/>
          <w:b/>
          <w:bCs/>
          <w:color w:val="222222"/>
          <w:sz w:val="21"/>
          <w:szCs w:val="21"/>
          <w:shd w:val="clear" w:color="auto" w:fill="FFFFFF"/>
        </w:rPr>
        <w:t xml:space="preserve"> </w:t>
      </w:r>
      <w:r>
        <w:rPr>
          <w:rFonts w:hint="eastAsia" w:ascii="宋体" w:hAnsi="宋体" w:cs="宋体"/>
          <w:b/>
          <w:bCs/>
          <w:color w:val="222222"/>
          <w:sz w:val="21"/>
          <w:szCs w:val="21"/>
          <w:shd w:val="clear" w:color="auto" w:fill="FFFFFF"/>
        </w:rPr>
        <w:t>行：工行福州市方圆分理处</w:t>
      </w:r>
    </w:p>
    <w:p>
      <w:pPr>
        <w:pStyle w:val="2"/>
        <w:widowControl/>
        <w:numPr>
          <w:ilvl w:val="0"/>
          <w:numId w:val="0"/>
        </w:numPr>
        <w:shd w:val="clear" w:color="auto" w:fill="FFFFFF"/>
        <w:spacing w:beforeAutospacing="0" w:afterAutospacing="0"/>
        <w:rPr>
          <w:rFonts w:hint="eastAsia" w:ascii="宋体" w:hAnsi="宋体" w:cs="宋体"/>
          <w:b/>
          <w:bCs/>
          <w:color w:val="222222"/>
          <w:sz w:val="21"/>
          <w:szCs w:val="21"/>
          <w:shd w:val="clear" w:color="auto" w:fill="FFFFFF"/>
          <w:lang w:eastAsia="zh-CN"/>
        </w:rPr>
      </w:pPr>
      <w:r>
        <w:rPr>
          <w:rFonts w:hint="eastAsia" w:ascii="宋体" w:hAnsi="宋体" w:cs="宋体"/>
          <w:b/>
          <w:bCs/>
          <w:color w:val="222222"/>
          <w:sz w:val="21"/>
          <w:szCs w:val="21"/>
          <w:shd w:val="clear" w:color="auto" w:fill="FFFFFF"/>
          <w:lang w:eastAsia="zh-CN"/>
        </w:rPr>
        <w:t>四、拍卖会时间：</w:t>
      </w:r>
    </w:p>
    <w:p>
      <w:pPr>
        <w:pStyle w:val="2"/>
        <w:widowControl/>
        <w:numPr>
          <w:ilvl w:val="0"/>
          <w:numId w:val="0"/>
        </w:numPr>
        <w:shd w:val="clear" w:color="auto" w:fill="FFFFFF"/>
        <w:spacing w:beforeAutospacing="0" w:afterAutospacing="0"/>
        <w:rPr>
          <w:rFonts w:hint="eastAsia" w:ascii="宋体" w:hAnsi="宋体" w:cs="宋体"/>
          <w:b/>
          <w:bCs/>
          <w:color w:val="222222"/>
          <w:sz w:val="21"/>
          <w:szCs w:val="21"/>
          <w:shd w:val="clear" w:color="auto" w:fill="FFFFFF"/>
          <w:lang w:val="en-US" w:eastAsia="zh-CN"/>
        </w:rPr>
      </w:pPr>
      <w:r>
        <w:rPr>
          <w:rFonts w:hint="eastAsia" w:ascii="宋体" w:hAnsi="宋体" w:cs="宋体"/>
          <w:b/>
          <w:bCs/>
          <w:color w:val="222222"/>
          <w:sz w:val="21"/>
          <w:szCs w:val="21"/>
          <w:shd w:val="clear" w:color="auto" w:fill="FFFFFF"/>
          <w:lang w:val="en-US" w:eastAsia="zh-CN"/>
        </w:rPr>
        <w:t xml:space="preserve">    </w:t>
      </w:r>
      <w:r>
        <w:rPr>
          <w:rFonts w:hint="eastAsia" w:ascii="宋体" w:hAnsi="宋体" w:cs="宋体"/>
          <w:b w:val="0"/>
          <w:bCs w:val="0"/>
          <w:color w:val="222222"/>
          <w:sz w:val="21"/>
          <w:szCs w:val="21"/>
          <w:shd w:val="clear" w:color="auto" w:fill="FFFFFF"/>
          <w:lang w:val="en-US" w:eastAsia="zh-CN"/>
        </w:rPr>
        <w:t>2018年9月28日上午10：00在东山县西埔镇经济技术开发区东西二路东山盐务局办公楼二楼会议室举行租赁权拍卖会。</w:t>
      </w:r>
    </w:p>
    <w:p>
      <w:pPr>
        <w:pStyle w:val="2"/>
        <w:widowControl/>
        <w:shd w:val="clear" w:color="auto" w:fill="FFFFFF"/>
        <w:spacing w:beforeAutospacing="0" w:afterAutospacing="0"/>
        <w:rPr>
          <w:rFonts w:ascii="宋体" w:cs="宋体"/>
          <w:b/>
          <w:bCs/>
          <w:color w:val="222222"/>
          <w:sz w:val="21"/>
          <w:szCs w:val="21"/>
          <w:shd w:val="clear" w:color="auto" w:fill="FFFFFF"/>
        </w:rPr>
      </w:pPr>
      <w:r>
        <w:rPr>
          <w:rFonts w:hint="eastAsia" w:ascii="宋体" w:hAnsi="宋体" w:cs="宋体"/>
          <w:b/>
          <w:bCs/>
          <w:color w:val="222222"/>
          <w:sz w:val="21"/>
          <w:szCs w:val="21"/>
          <w:shd w:val="clear" w:color="auto" w:fill="FFFFFF"/>
          <w:lang w:eastAsia="zh-CN"/>
        </w:rPr>
        <w:t>五</w:t>
      </w:r>
      <w:r>
        <w:rPr>
          <w:rFonts w:hint="eastAsia" w:ascii="宋体" w:hAnsi="宋体" w:cs="宋体"/>
          <w:b/>
          <w:bCs/>
          <w:color w:val="222222"/>
          <w:sz w:val="21"/>
          <w:szCs w:val="21"/>
          <w:shd w:val="clear" w:color="auto" w:fill="FFFFFF"/>
        </w:rPr>
        <w:t>、风险揭示：</w:t>
      </w:r>
    </w:p>
    <w:p>
      <w:pPr>
        <w:pStyle w:val="2"/>
        <w:widowControl/>
        <w:numPr>
          <w:ilvl w:val="0"/>
          <w:numId w:val="1"/>
        </w:numPr>
        <w:shd w:val="clear" w:color="auto" w:fill="FFFFFF"/>
        <w:spacing w:beforeAutospacing="0" w:afterAutospacing="0"/>
        <w:ind w:left="0" w:leftChars="0" w:firstLine="420" w:firstLineChars="200"/>
        <w:rPr>
          <w:rFonts w:ascii="宋体" w:cs="宋体"/>
          <w:color w:val="222222"/>
          <w:sz w:val="21"/>
          <w:szCs w:val="21"/>
          <w:shd w:val="clear" w:color="auto" w:fill="FFFFFF"/>
        </w:rPr>
      </w:pPr>
      <w:r>
        <w:rPr>
          <w:rFonts w:hint="eastAsia" w:ascii="宋体" w:hAnsi="宋体" w:cs="宋体"/>
          <w:color w:val="222222"/>
          <w:sz w:val="21"/>
          <w:szCs w:val="21"/>
          <w:shd w:val="clear" w:color="auto" w:fill="FFFFFF"/>
          <w:lang w:eastAsia="zh-CN"/>
        </w:rPr>
        <w:t>买受人</w:t>
      </w:r>
      <w:r>
        <w:rPr>
          <w:rFonts w:hint="eastAsia" w:ascii="宋体" w:hAnsi="宋体" w:cs="宋体"/>
          <w:color w:val="222222"/>
          <w:sz w:val="21"/>
          <w:szCs w:val="21"/>
          <w:shd w:val="clear" w:color="auto" w:fill="FFFFFF"/>
        </w:rPr>
        <w:t>应自行针对标的物的现状就拟开展的项目进行可行性调查评估，并在拍卖会前对标的物现场看样，确保对标的现场状况无异议，拍卖成交后不得以任何理由拒绝接收标的物。</w:t>
      </w:r>
    </w:p>
    <w:p>
      <w:pPr>
        <w:pStyle w:val="2"/>
        <w:widowControl/>
        <w:numPr>
          <w:ilvl w:val="0"/>
          <w:numId w:val="1"/>
        </w:numPr>
        <w:shd w:val="clear" w:color="auto" w:fill="FFFFFF"/>
        <w:spacing w:beforeAutospacing="0" w:afterAutospacing="0"/>
        <w:ind w:left="0" w:leftChars="0" w:firstLine="420" w:firstLineChars="200"/>
        <w:rPr>
          <w:rFonts w:ascii="宋体" w:cs="宋体"/>
          <w:color w:val="222222"/>
          <w:sz w:val="21"/>
          <w:szCs w:val="21"/>
          <w:shd w:val="clear" w:color="auto" w:fill="FFFFFF"/>
        </w:rPr>
      </w:pPr>
      <w:r>
        <w:rPr>
          <w:rFonts w:hint="eastAsia" w:ascii="宋体" w:hAnsi="宋体" w:cs="宋体"/>
          <w:color w:val="222222"/>
          <w:sz w:val="21"/>
          <w:szCs w:val="21"/>
          <w:shd w:val="clear" w:color="auto" w:fill="FFFFFF"/>
        </w:rPr>
        <w:t>拍卖成交后，买受人违约致使拍卖目的难以实现的，拍卖人可以重新拍卖。买受人缴纳的竞买保证金不予退还。重新拍卖时，原买受人不得参加竞买。重新拍卖的价款低于原拍卖价款造成的差价、费用支出及原拍卖应收的佣金，由原买受人承担。</w:t>
      </w:r>
    </w:p>
    <w:p>
      <w:pPr>
        <w:pStyle w:val="2"/>
        <w:widowControl/>
        <w:numPr>
          <w:ilvl w:val="0"/>
          <w:numId w:val="1"/>
        </w:numPr>
        <w:shd w:val="clear" w:color="auto" w:fill="FFFFFF"/>
        <w:spacing w:beforeAutospacing="0" w:afterAutospacing="0"/>
        <w:ind w:left="0" w:leftChars="0" w:firstLine="420" w:firstLineChars="200"/>
        <w:rPr>
          <w:rFonts w:ascii="宋体" w:cs="宋体"/>
          <w:color w:val="222222"/>
          <w:sz w:val="21"/>
          <w:szCs w:val="21"/>
          <w:shd w:val="clear" w:color="auto" w:fill="FFFFFF"/>
        </w:rPr>
      </w:pPr>
      <w:r>
        <w:rPr>
          <w:rFonts w:hint="eastAsia" w:ascii="宋体" w:hAnsi="宋体" w:cs="宋体"/>
          <w:color w:val="222222"/>
          <w:sz w:val="21"/>
          <w:szCs w:val="21"/>
          <w:shd w:val="clear" w:color="auto" w:fill="FFFFFF"/>
        </w:rPr>
        <w:t>若竞买人有违反本拍卖规则条款规定的行为，将被取消竞买（买受）资格，竞买保证金不予退回。同时</w:t>
      </w:r>
      <w:r>
        <w:rPr>
          <w:rFonts w:ascii="宋体" w:cs="宋体"/>
          <w:color w:val="222222"/>
          <w:sz w:val="21"/>
          <w:szCs w:val="21"/>
          <w:shd w:val="clear" w:color="auto" w:fill="FFFFFF"/>
        </w:rPr>
        <w:t>,</w:t>
      </w:r>
      <w:r>
        <w:rPr>
          <w:rFonts w:hint="eastAsia" w:ascii="宋体" w:hAnsi="宋体" w:cs="宋体"/>
          <w:color w:val="222222"/>
          <w:sz w:val="21"/>
          <w:szCs w:val="21"/>
          <w:shd w:val="clear" w:color="auto" w:fill="FFFFFF"/>
        </w:rPr>
        <w:t>拍卖人保留通过法律途径进行追诉的权利。</w:t>
      </w:r>
    </w:p>
    <w:p>
      <w:pPr>
        <w:pStyle w:val="2"/>
        <w:widowControl/>
        <w:shd w:val="clear" w:color="auto" w:fill="FFFFFF"/>
        <w:spacing w:beforeAutospacing="0" w:afterAutospacing="0"/>
        <w:rPr>
          <w:rStyle w:val="4"/>
          <w:rFonts w:hint="eastAsia" w:ascii="宋体" w:hAnsi="宋体" w:cs="宋体"/>
          <w:color w:val="222222"/>
          <w:sz w:val="21"/>
          <w:szCs w:val="21"/>
          <w:shd w:val="clear" w:color="auto" w:fill="FFFFFF"/>
          <w:lang w:val="en-US" w:eastAsia="zh-CN"/>
        </w:rPr>
      </w:pPr>
      <w:r>
        <w:rPr>
          <w:rStyle w:val="4"/>
          <w:rFonts w:hint="eastAsia" w:ascii="宋体" w:hAnsi="宋体" w:cs="宋体"/>
          <w:color w:val="222222"/>
          <w:sz w:val="21"/>
          <w:szCs w:val="21"/>
          <w:shd w:val="clear" w:color="auto" w:fill="FFFFFF"/>
          <w:lang w:eastAsia="zh-CN"/>
        </w:rPr>
        <w:t>六</w:t>
      </w:r>
      <w:r>
        <w:rPr>
          <w:rStyle w:val="4"/>
          <w:rFonts w:hint="eastAsia" w:ascii="宋体" w:hAnsi="宋体" w:cs="宋体"/>
          <w:color w:val="222222"/>
          <w:sz w:val="21"/>
          <w:szCs w:val="21"/>
          <w:shd w:val="clear" w:color="auto" w:fill="FFFFFF"/>
        </w:rPr>
        <w:t>、咨询电话：13358289968（王</w:t>
      </w:r>
      <w:r>
        <w:rPr>
          <w:rStyle w:val="4"/>
          <w:rFonts w:hint="eastAsia" w:ascii="宋体" w:hAnsi="宋体" w:cs="宋体"/>
          <w:color w:val="222222"/>
          <w:sz w:val="21"/>
          <w:szCs w:val="21"/>
          <w:shd w:val="clear" w:color="auto" w:fill="FFFFFF"/>
          <w:lang w:eastAsia="zh-CN"/>
        </w:rPr>
        <w:t>女士</w:t>
      </w:r>
      <w:r>
        <w:rPr>
          <w:rStyle w:val="4"/>
          <w:rFonts w:hint="eastAsia" w:ascii="宋体" w:hAnsi="宋体" w:cs="宋体"/>
          <w:color w:val="222222"/>
          <w:sz w:val="21"/>
          <w:szCs w:val="21"/>
          <w:shd w:val="clear" w:color="auto" w:fill="FFFFFF"/>
        </w:rPr>
        <w:t>）  13859263678（林先生）</w:t>
      </w:r>
      <w:r>
        <w:rPr>
          <w:rStyle w:val="4"/>
          <w:rFonts w:hint="eastAsia" w:ascii="宋体" w:hAnsi="宋体" w:cs="宋体"/>
          <w:color w:val="222222"/>
          <w:sz w:val="21"/>
          <w:szCs w:val="21"/>
          <w:shd w:val="clear" w:color="auto" w:fill="FFFFFF"/>
          <w:lang w:val="en-US" w:eastAsia="zh-CN"/>
        </w:rPr>
        <w:t xml:space="preserve"> 13959600688 （</w:t>
      </w:r>
      <w:r>
        <w:rPr>
          <w:rStyle w:val="4"/>
          <w:rFonts w:hint="eastAsia" w:ascii="宋体" w:hAnsi="宋体" w:cs="宋体"/>
          <w:color w:val="222222"/>
          <w:sz w:val="21"/>
          <w:szCs w:val="21"/>
          <w:shd w:val="clear" w:color="auto" w:fill="FFFFFF"/>
          <w:lang w:eastAsia="zh-CN"/>
        </w:rPr>
        <w:t>郑女士）</w:t>
      </w:r>
    </w:p>
    <w:p>
      <w:pPr>
        <w:pStyle w:val="2"/>
        <w:widowControl/>
        <w:shd w:val="clear" w:color="auto" w:fill="FFFFFF"/>
        <w:spacing w:beforeAutospacing="0" w:afterAutospacing="0"/>
        <w:rPr>
          <w:rFonts w:ascii="宋体" w:cs="宋体"/>
          <w:b/>
          <w:bCs/>
          <w:color w:val="222222"/>
          <w:sz w:val="21"/>
          <w:szCs w:val="21"/>
          <w:shd w:val="clear" w:color="auto" w:fill="FFFFFF"/>
        </w:rPr>
      </w:pPr>
      <w:r>
        <w:rPr>
          <w:rFonts w:hint="eastAsia" w:ascii="宋体" w:hAnsi="宋体" w:cs="宋体"/>
          <w:b/>
          <w:bCs/>
          <w:color w:val="222222"/>
          <w:sz w:val="21"/>
          <w:szCs w:val="21"/>
          <w:shd w:val="clear" w:color="auto" w:fill="FFFFFF"/>
          <w:lang w:eastAsia="zh-CN"/>
        </w:rPr>
        <w:t>七</w:t>
      </w:r>
      <w:r>
        <w:rPr>
          <w:rFonts w:hint="eastAsia" w:ascii="宋体" w:hAnsi="宋体" w:cs="宋体"/>
          <w:b/>
          <w:bCs/>
          <w:color w:val="222222"/>
          <w:sz w:val="21"/>
          <w:szCs w:val="21"/>
          <w:shd w:val="clear" w:color="auto" w:fill="FFFFFF"/>
        </w:rPr>
        <w:t>、监督电话：0596-2683025</w:t>
      </w:r>
      <w:bookmarkStart w:id="0" w:name="_GoBack"/>
      <w:bookmarkEnd w:id="0"/>
    </w:p>
    <w:p>
      <w:pPr>
        <w:pStyle w:val="2"/>
        <w:widowControl/>
        <w:shd w:val="clear" w:color="auto" w:fill="FFFFFF"/>
        <w:spacing w:beforeAutospacing="0" w:afterAutospacing="0"/>
        <w:rPr>
          <w:rFonts w:hint="eastAsia" w:ascii="宋体" w:hAnsi="宋体" w:cs="宋体"/>
          <w:color w:val="222222"/>
          <w:sz w:val="21"/>
          <w:szCs w:val="21"/>
          <w:highlight w:val="none"/>
          <w:shd w:val="clear" w:color="auto" w:fill="FFFFFF"/>
        </w:rPr>
      </w:pPr>
      <w:r>
        <w:rPr>
          <w:rFonts w:hint="eastAsia" w:ascii="宋体" w:hAnsi="宋体" w:cs="宋体"/>
          <w:color w:val="222222"/>
          <w:sz w:val="21"/>
          <w:szCs w:val="21"/>
          <w:highlight w:val="none"/>
          <w:shd w:val="clear" w:color="auto" w:fill="FFFFFF"/>
          <w:lang w:eastAsia="zh-CN"/>
        </w:rPr>
        <w:t>联系</w:t>
      </w:r>
      <w:r>
        <w:rPr>
          <w:rFonts w:hint="eastAsia" w:ascii="宋体" w:hAnsi="宋体" w:cs="宋体"/>
          <w:color w:val="222222"/>
          <w:sz w:val="21"/>
          <w:szCs w:val="21"/>
          <w:highlight w:val="none"/>
          <w:shd w:val="clear" w:color="auto" w:fill="FFFFFF"/>
        </w:rPr>
        <w:t>地址：福建省漳州市芗城区新浦路38号</w:t>
      </w:r>
    </w:p>
    <w:p>
      <w:pPr>
        <w:pStyle w:val="2"/>
        <w:widowControl/>
        <w:shd w:val="clear" w:color="auto" w:fill="FFFFFF"/>
        <w:spacing w:beforeAutospacing="0" w:afterAutospacing="0"/>
        <w:ind w:firstLine="1050" w:firstLineChars="500"/>
        <w:rPr>
          <w:rFonts w:ascii="宋体" w:cs="宋体"/>
          <w:color w:val="222222"/>
          <w:sz w:val="21"/>
          <w:szCs w:val="21"/>
          <w:highlight w:val="none"/>
          <w:shd w:val="clear" w:color="auto" w:fill="FFFFFF"/>
        </w:rPr>
      </w:pPr>
      <w:r>
        <w:rPr>
          <w:rFonts w:hint="eastAsia" w:ascii="宋体" w:hAnsi="宋体" w:cs="宋体"/>
          <w:color w:val="222222"/>
          <w:sz w:val="21"/>
          <w:szCs w:val="21"/>
          <w:highlight w:val="none"/>
          <w:shd w:val="clear" w:color="auto" w:fill="FFFFFF"/>
        </w:rPr>
        <w:t>福州市鼓楼区省府路</w:t>
      </w:r>
      <w:r>
        <w:rPr>
          <w:rFonts w:ascii="宋体" w:hAnsi="宋体" w:cs="宋体"/>
          <w:color w:val="222222"/>
          <w:sz w:val="21"/>
          <w:szCs w:val="21"/>
          <w:highlight w:val="none"/>
          <w:shd w:val="clear" w:color="auto" w:fill="FFFFFF"/>
        </w:rPr>
        <w:t>50</w:t>
      </w:r>
      <w:r>
        <w:rPr>
          <w:rFonts w:hint="eastAsia" w:ascii="宋体" w:hAnsi="宋体" w:cs="宋体"/>
          <w:color w:val="222222"/>
          <w:sz w:val="21"/>
          <w:szCs w:val="21"/>
          <w:highlight w:val="none"/>
          <w:shd w:val="clear" w:color="auto" w:fill="FFFFFF"/>
        </w:rPr>
        <w:t>号榕新楼</w:t>
      </w:r>
      <w:r>
        <w:rPr>
          <w:rFonts w:ascii="宋体" w:hAnsi="宋体" w:cs="宋体"/>
          <w:color w:val="222222"/>
          <w:sz w:val="21"/>
          <w:szCs w:val="21"/>
          <w:highlight w:val="none"/>
          <w:shd w:val="clear" w:color="auto" w:fill="FFFFFF"/>
        </w:rPr>
        <w:t>B</w:t>
      </w:r>
      <w:r>
        <w:rPr>
          <w:rFonts w:hint="eastAsia" w:ascii="宋体" w:hAnsi="宋体" w:cs="宋体"/>
          <w:color w:val="222222"/>
          <w:sz w:val="21"/>
          <w:szCs w:val="21"/>
          <w:highlight w:val="none"/>
          <w:shd w:val="clear" w:color="auto" w:fill="FFFFFF"/>
        </w:rPr>
        <w:t>座</w:t>
      </w:r>
      <w:r>
        <w:rPr>
          <w:rFonts w:ascii="宋体" w:hAnsi="宋体" w:cs="宋体"/>
          <w:color w:val="222222"/>
          <w:sz w:val="21"/>
          <w:szCs w:val="21"/>
          <w:highlight w:val="none"/>
          <w:shd w:val="clear" w:color="auto" w:fill="FFFFFF"/>
        </w:rPr>
        <w:t>3</w:t>
      </w:r>
      <w:r>
        <w:rPr>
          <w:rFonts w:hint="eastAsia" w:ascii="宋体" w:hAnsi="宋体" w:cs="宋体"/>
          <w:color w:val="222222"/>
          <w:sz w:val="21"/>
          <w:szCs w:val="21"/>
          <w:highlight w:val="none"/>
          <w:shd w:val="clear" w:color="auto" w:fill="FFFFFF"/>
        </w:rPr>
        <w:t>层</w:t>
      </w:r>
      <w:r>
        <w:rPr>
          <w:rFonts w:ascii="宋体" w:hAnsi="宋体" w:cs="宋体"/>
          <w:color w:val="222222"/>
          <w:sz w:val="21"/>
          <w:szCs w:val="21"/>
          <w:highlight w:val="none"/>
          <w:shd w:val="clear" w:color="auto" w:fill="FFFFFF"/>
        </w:rPr>
        <w:t>10</w:t>
      </w:r>
      <w:r>
        <w:rPr>
          <w:rFonts w:hint="eastAsia" w:ascii="宋体" w:hAnsi="宋体" w:cs="宋体"/>
          <w:color w:val="222222"/>
          <w:sz w:val="21"/>
          <w:szCs w:val="21"/>
          <w:highlight w:val="none"/>
          <w:shd w:val="clear" w:color="auto" w:fill="FFFFFF"/>
          <w:lang w:val="en-US" w:eastAsia="zh-CN"/>
        </w:rPr>
        <w:t>1</w:t>
      </w:r>
      <w:r>
        <w:rPr>
          <w:rFonts w:hint="eastAsia" w:ascii="宋体" w:hAnsi="宋体" w:cs="宋体"/>
          <w:color w:val="222222"/>
          <w:sz w:val="21"/>
          <w:szCs w:val="21"/>
          <w:highlight w:val="none"/>
          <w:shd w:val="clear" w:color="auto" w:fill="FFFFFF"/>
        </w:rPr>
        <w:t>。</w:t>
      </w:r>
    </w:p>
    <w:p>
      <w:pPr>
        <w:pStyle w:val="2"/>
        <w:widowControl/>
        <w:shd w:val="clear" w:color="auto" w:fill="FFFFFF"/>
        <w:spacing w:beforeAutospacing="0" w:afterAutospacing="0"/>
        <w:rPr>
          <w:rFonts w:ascii="宋体" w:cs="宋体"/>
          <w:b/>
          <w:bCs/>
          <w:color w:val="222222"/>
          <w:sz w:val="21"/>
          <w:szCs w:val="21"/>
          <w:shd w:val="clear" w:color="auto" w:fill="FFFFFF"/>
        </w:rPr>
      </w:pPr>
    </w:p>
    <w:p>
      <w:pPr>
        <w:pStyle w:val="2"/>
        <w:widowControl/>
        <w:shd w:val="clear" w:color="auto" w:fill="FFFFFF"/>
        <w:spacing w:beforeAutospacing="0" w:afterAutospacing="0"/>
        <w:ind w:firstLine="5060" w:firstLineChars="2400"/>
        <w:rPr>
          <w:rFonts w:ascii="宋体" w:cs="宋体"/>
          <w:b/>
          <w:bCs/>
          <w:color w:val="222222"/>
          <w:sz w:val="21"/>
          <w:szCs w:val="21"/>
          <w:shd w:val="clear" w:color="auto" w:fill="FFFFFF"/>
        </w:rPr>
      </w:pPr>
      <w:r>
        <w:rPr>
          <w:rFonts w:hint="eastAsia" w:ascii="宋体" w:hAnsi="宋体" w:cs="宋体"/>
          <w:b/>
          <w:bCs/>
          <w:color w:val="222222"/>
          <w:sz w:val="21"/>
          <w:szCs w:val="21"/>
          <w:shd w:val="clear" w:color="auto" w:fill="FFFFFF"/>
        </w:rPr>
        <w:t>福建省贸托拍卖有限公司</w:t>
      </w:r>
    </w:p>
    <w:p>
      <w:pPr>
        <w:pStyle w:val="2"/>
        <w:widowControl/>
        <w:shd w:val="clear" w:color="auto" w:fill="FFFFFF"/>
        <w:spacing w:beforeAutospacing="0" w:afterAutospacing="0"/>
        <w:ind w:firstLine="5692" w:firstLineChars="2700"/>
        <w:rPr>
          <w:rFonts w:hint="eastAsia" w:ascii="宋体" w:eastAsia="宋体" w:cs="宋体"/>
          <w:b/>
          <w:bCs/>
          <w:color w:val="222222"/>
          <w:sz w:val="21"/>
          <w:szCs w:val="21"/>
          <w:shd w:val="clear" w:color="auto" w:fill="FFFFFF"/>
          <w:lang w:val="en-US" w:eastAsia="zh-CN"/>
        </w:rPr>
      </w:pPr>
      <w:r>
        <w:rPr>
          <w:rFonts w:ascii="宋体" w:hAnsi="宋体" w:cs="宋体"/>
          <w:b/>
          <w:bCs/>
          <w:color w:val="222222"/>
          <w:sz w:val="21"/>
          <w:szCs w:val="21"/>
          <w:shd w:val="clear" w:color="auto" w:fill="FFFFFF"/>
        </w:rPr>
        <w:t>2018.</w:t>
      </w:r>
      <w:r>
        <w:rPr>
          <w:rFonts w:hint="eastAsia" w:ascii="宋体" w:hAnsi="宋体" w:cs="宋体"/>
          <w:b/>
          <w:bCs/>
          <w:color w:val="222222"/>
          <w:sz w:val="21"/>
          <w:szCs w:val="21"/>
          <w:shd w:val="clear" w:color="auto" w:fill="FFFFFF"/>
          <w:lang w:val="en-US" w:eastAsia="zh-CN"/>
        </w:rPr>
        <w:t>9</w:t>
      </w:r>
      <w:r>
        <w:rPr>
          <w:rFonts w:ascii="宋体" w:hAnsi="宋体" w:cs="宋体"/>
          <w:b/>
          <w:bCs/>
          <w:color w:val="222222"/>
          <w:sz w:val="21"/>
          <w:szCs w:val="21"/>
          <w:shd w:val="clear" w:color="auto" w:fill="FFFFFF"/>
        </w:rPr>
        <w:t>.</w:t>
      </w:r>
      <w:r>
        <w:rPr>
          <w:rFonts w:hint="eastAsia" w:ascii="宋体" w:hAnsi="宋体" w:cs="宋体"/>
          <w:b/>
          <w:bCs/>
          <w:color w:val="222222"/>
          <w:sz w:val="21"/>
          <w:szCs w:val="21"/>
          <w:shd w:val="clear" w:color="auto" w:fill="FFFFFF"/>
          <w:lang w:val="en-US" w:eastAsia="zh-CN"/>
        </w:rPr>
        <w:t>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28841"/>
    <w:multiLevelType w:val="singleLevel"/>
    <w:tmpl w:val="23B28841"/>
    <w:lvl w:ilvl="0" w:tentative="0">
      <w:start w:val="1"/>
      <w:numFmt w:val="decimal"/>
      <w:lvlText w:val="%1."/>
      <w:lvlJc w:val="left"/>
      <w:pPr>
        <w:tabs>
          <w:tab w:val="left" w:pos="312"/>
        </w:tabs>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870"/>
    <w:rsid w:val="00060DFD"/>
    <w:rsid w:val="00277600"/>
    <w:rsid w:val="003579B4"/>
    <w:rsid w:val="00364902"/>
    <w:rsid w:val="003F202F"/>
    <w:rsid w:val="006641FB"/>
    <w:rsid w:val="006C1CE4"/>
    <w:rsid w:val="00734D5D"/>
    <w:rsid w:val="008D12A6"/>
    <w:rsid w:val="00AA2C37"/>
    <w:rsid w:val="00AA2DFE"/>
    <w:rsid w:val="00B75F32"/>
    <w:rsid w:val="00BD7870"/>
    <w:rsid w:val="00C077B7"/>
    <w:rsid w:val="00CA630A"/>
    <w:rsid w:val="00E57287"/>
    <w:rsid w:val="00FB70F9"/>
    <w:rsid w:val="033D1473"/>
    <w:rsid w:val="03C71F47"/>
    <w:rsid w:val="07CD2857"/>
    <w:rsid w:val="0B780384"/>
    <w:rsid w:val="0E0F16BE"/>
    <w:rsid w:val="102746F3"/>
    <w:rsid w:val="106467B7"/>
    <w:rsid w:val="110B4075"/>
    <w:rsid w:val="11406AEE"/>
    <w:rsid w:val="12931555"/>
    <w:rsid w:val="130C7BC0"/>
    <w:rsid w:val="13E51198"/>
    <w:rsid w:val="15E83D50"/>
    <w:rsid w:val="189100B0"/>
    <w:rsid w:val="19A5063C"/>
    <w:rsid w:val="1AF076CF"/>
    <w:rsid w:val="1B2440DE"/>
    <w:rsid w:val="1C9E730F"/>
    <w:rsid w:val="1D8577EC"/>
    <w:rsid w:val="21BC33BE"/>
    <w:rsid w:val="226129DB"/>
    <w:rsid w:val="262258F5"/>
    <w:rsid w:val="2767746F"/>
    <w:rsid w:val="2BFF5B3B"/>
    <w:rsid w:val="2C967FE9"/>
    <w:rsid w:val="2CB10CE4"/>
    <w:rsid w:val="2E097BB1"/>
    <w:rsid w:val="31174498"/>
    <w:rsid w:val="34190593"/>
    <w:rsid w:val="35915BC3"/>
    <w:rsid w:val="3669471F"/>
    <w:rsid w:val="381C0794"/>
    <w:rsid w:val="396C4B0B"/>
    <w:rsid w:val="3AEE4E71"/>
    <w:rsid w:val="3DEC2051"/>
    <w:rsid w:val="42132182"/>
    <w:rsid w:val="44803172"/>
    <w:rsid w:val="457014CC"/>
    <w:rsid w:val="47FD2F54"/>
    <w:rsid w:val="4EAF7750"/>
    <w:rsid w:val="504E0ED4"/>
    <w:rsid w:val="52423ED5"/>
    <w:rsid w:val="55380328"/>
    <w:rsid w:val="5A395792"/>
    <w:rsid w:val="5BAD43D9"/>
    <w:rsid w:val="5CDC0E4F"/>
    <w:rsid w:val="5E591441"/>
    <w:rsid w:val="63EB5DD0"/>
    <w:rsid w:val="64CB228B"/>
    <w:rsid w:val="66D81B59"/>
    <w:rsid w:val="6A4A1C1F"/>
    <w:rsid w:val="6DAB356F"/>
    <w:rsid w:val="6E5970A0"/>
    <w:rsid w:val="710B6450"/>
    <w:rsid w:val="7431058B"/>
    <w:rsid w:val="7C8D33F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99"/>
    <w:pPr>
      <w:spacing w:beforeAutospacing="1" w:afterAutospacing="1"/>
      <w:jc w:val="left"/>
    </w:pPr>
    <w:rPr>
      <w:kern w:val="0"/>
      <w:sz w:val="24"/>
    </w:rPr>
  </w:style>
  <w:style w:type="character" w:styleId="4">
    <w:name w:val="Strong"/>
    <w:basedOn w:val="3"/>
    <w:qFormat/>
    <w:uiPriority w:val="99"/>
    <w:rPr>
      <w:rFonts w:cs="Times New Roman"/>
      <w:b/>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214</Words>
  <Characters>1225</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hp</cp:lastModifiedBy>
  <dcterms:modified xsi:type="dcterms:W3CDTF">2018-09-05T02:43:36Z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